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D8" w:rsidRPr="00A779A1" w:rsidRDefault="004444D8" w:rsidP="00A779A1">
      <w:pPr>
        <w:spacing w:after="240"/>
        <w:jc w:val="right"/>
      </w:pPr>
      <w:r>
        <w:t xml:space="preserve">Приложение 1 к договору № ________      </w:t>
      </w: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0"/>
      </w:tblGrid>
      <w:tr w:rsidR="004444D8" w:rsidTr="000557CF">
        <w:trPr>
          <w:cantSplit/>
          <w:trHeight w:val="1263"/>
        </w:trPr>
        <w:tc>
          <w:tcPr>
            <w:tcW w:w="10490" w:type="dxa"/>
          </w:tcPr>
          <w:p w:rsidR="004444D8" w:rsidRDefault="004444D8" w:rsidP="000557C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</w:rPr>
            </w:pPr>
            <w:r>
              <w:rPr>
                <w:smallCaps/>
              </w:rPr>
              <w:t>ТЕХНИЧЕСКОЕ ЗАДАНИЕ</w:t>
            </w:r>
          </w:p>
          <w:p w:rsidR="00A779A1" w:rsidRDefault="004444D8" w:rsidP="000557C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</w:pPr>
            <w:r>
              <w:t>на выполнение работ</w:t>
            </w:r>
            <w:r w:rsidR="00A779A1">
              <w:t xml:space="preserve"> по экспертизе промышленной безопасности </w:t>
            </w:r>
          </w:p>
          <w:p w:rsidR="00C40C65" w:rsidRDefault="00A779A1" w:rsidP="000557C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</w:pPr>
            <w:r>
              <w:t xml:space="preserve">сосудов и трубопроводов </w:t>
            </w:r>
          </w:p>
          <w:p w:rsidR="00C40C65" w:rsidRDefault="00C40C65" w:rsidP="00C40C65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проведением неразрушающего контроля силами Заказчика </w:t>
            </w:r>
          </w:p>
          <w:p w:rsidR="00C40C65" w:rsidRDefault="00C40C65" w:rsidP="000557C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(согласно п.22 федеральных норм и правил в области промышленной </w:t>
            </w:r>
            <w:proofErr w:type="gramEnd"/>
          </w:p>
          <w:p w:rsidR="004444D8" w:rsidRPr="004F153F" w:rsidRDefault="00C40C65" w:rsidP="000557C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</w:rPr>
            </w:pPr>
            <w:r>
              <w:rPr>
                <w:sz w:val="22"/>
                <w:szCs w:val="22"/>
              </w:rPr>
              <w:t>безопасности «Правила проведения экспертизы промышленной безопасности»)</w:t>
            </w:r>
            <w:r>
              <w:t>.</w:t>
            </w:r>
            <w:r w:rsidR="004444D8">
              <w:t xml:space="preserve"> </w:t>
            </w:r>
          </w:p>
          <w:p w:rsidR="004444D8" w:rsidRPr="004F153F" w:rsidRDefault="004444D8" w:rsidP="000557CF">
            <w:pPr>
              <w:pStyle w:val="31"/>
              <w:rPr>
                <w:b/>
                <w:bCs/>
                <w:sz w:val="24"/>
                <w:szCs w:val="24"/>
              </w:rPr>
            </w:pPr>
          </w:p>
        </w:tc>
      </w:tr>
    </w:tbl>
    <w:p w:rsidR="004444D8" w:rsidRPr="004F153F" w:rsidRDefault="004444D8" w:rsidP="004444D8">
      <w:pPr>
        <w:numPr>
          <w:ilvl w:val="0"/>
          <w:numId w:val="1"/>
        </w:numPr>
        <w:rPr>
          <w:sz w:val="22"/>
          <w:szCs w:val="22"/>
        </w:rPr>
      </w:pPr>
      <w:r w:rsidRPr="004F153F">
        <w:rPr>
          <w:sz w:val="22"/>
          <w:szCs w:val="22"/>
        </w:rPr>
        <w:t xml:space="preserve">Исполнитель: </w:t>
      </w:r>
    </w:p>
    <w:p w:rsidR="004444D8" w:rsidRPr="004F153F" w:rsidRDefault="004444D8" w:rsidP="004444D8">
      <w:pPr>
        <w:numPr>
          <w:ilvl w:val="0"/>
          <w:numId w:val="1"/>
        </w:numPr>
        <w:rPr>
          <w:sz w:val="22"/>
          <w:szCs w:val="22"/>
        </w:rPr>
      </w:pPr>
      <w:r w:rsidRPr="004F153F">
        <w:rPr>
          <w:sz w:val="22"/>
          <w:szCs w:val="22"/>
        </w:rPr>
        <w:t>Заказчик: Открытое акционерное общество  «</w:t>
      </w:r>
      <w:proofErr w:type="spellStart"/>
      <w:r w:rsidRPr="004F153F">
        <w:rPr>
          <w:sz w:val="22"/>
          <w:szCs w:val="22"/>
        </w:rPr>
        <w:t>Славнефть</w:t>
      </w:r>
      <w:proofErr w:type="spellEnd"/>
      <w:r w:rsidRPr="004F153F">
        <w:rPr>
          <w:sz w:val="22"/>
          <w:szCs w:val="22"/>
        </w:rPr>
        <w:t>-Ярославнефтеоргсинтез»</w:t>
      </w:r>
    </w:p>
    <w:p w:rsidR="00A779A1" w:rsidRDefault="004444D8" w:rsidP="004444D8">
      <w:pPr>
        <w:numPr>
          <w:ilvl w:val="0"/>
          <w:numId w:val="1"/>
        </w:numPr>
        <w:jc w:val="both"/>
        <w:rPr>
          <w:sz w:val="22"/>
          <w:szCs w:val="22"/>
        </w:rPr>
      </w:pPr>
      <w:r w:rsidRPr="004F153F">
        <w:rPr>
          <w:sz w:val="22"/>
          <w:szCs w:val="22"/>
        </w:rPr>
        <w:t xml:space="preserve">Цель работы: </w:t>
      </w:r>
      <w:r w:rsidRPr="004444D8">
        <w:rPr>
          <w:sz w:val="22"/>
          <w:szCs w:val="22"/>
        </w:rPr>
        <w:t>Определение технического состояния оборудования для продления срока безопасной эксплуатации</w:t>
      </w:r>
      <w:r w:rsidR="00A779A1">
        <w:rPr>
          <w:sz w:val="22"/>
          <w:szCs w:val="22"/>
        </w:rPr>
        <w:t xml:space="preserve"> сосудов и трубопроводов на объектах ОАО «</w:t>
      </w:r>
      <w:proofErr w:type="spellStart"/>
      <w:r w:rsidR="00A779A1">
        <w:rPr>
          <w:sz w:val="22"/>
          <w:szCs w:val="22"/>
        </w:rPr>
        <w:t>Славнефть</w:t>
      </w:r>
      <w:proofErr w:type="spellEnd"/>
      <w:r w:rsidR="00A779A1">
        <w:rPr>
          <w:sz w:val="22"/>
          <w:szCs w:val="22"/>
        </w:rPr>
        <w:t>-ЯНОС»:</w:t>
      </w:r>
    </w:p>
    <w:p w:rsidR="00A779A1" w:rsidRDefault="00A779A1" w:rsidP="00A779A1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Цех №3 уст. ЛГ-35/11 и Изомалк-2 (сосуды 7 ед.);</w:t>
      </w:r>
    </w:p>
    <w:p w:rsidR="00A779A1" w:rsidRDefault="00A779A1" w:rsidP="00A779A1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Цех №4 уст. Гидрокрекинга (сосуды 4 ед.)</w:t>
      </w:r>
    </w:p>
    <w:p w:rsidR="00A779A1" w:rsidRDefault="00A779A1" w:rsidP="00A779A1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Цех №5 уст. УПСК, УКФГ, ГНЭ, НСЩС (сосуды 16 ед., трубопроводы 12 ед.)</w:t>
      </w:r>
    </w:p>
    <w:p w:rsidR="00A779A1" w:rsidRDefault="00A779A1" w:rsidP="00A779A1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КМ-2 (сосуды 4 ед.)</w:t>
      </w:r>
    </w:p>
    <w:p w:rsidR="00A779A1" w:rsidRDefault="00A779A1" w:rsidP="00A779A1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Цех №12 (сосуды 3 ед.)</w:t>
      </w:r>
    </w:p>
    <w:p w:rsidR="00EA2ADB" w:rsidRDefault="00EA2ADB" w:rsidP="00EA2ADB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Цех №13 (сосуды 3 ед., трубопроводы 28 ед.)</w:t>
      </w:r>
    </w:p>
    <w:p w:rsidR="004444D8" w:rsidRDefault="00EA2ADB" w:rsidP="00EA2ADB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Цех №17 (сосуды 1 ед.)</w:t>
      </w:r>
      <w:r w:rsidR="004444D8" w:rsidRPr="004444D8">
        <w:rPr>
          <w:sz w:val="22"/>
          <w:szCs w:val="22"/>
        </w:rPr>
        <w:t xml:space="preserve"> </w:t>
      </w:r>
    </w:p>
    <w:p w:rsidR="00C40C65" w:rsidRPr="004444D8" w:rsidRDefault="00C40C65" w:rsidP="00EA2ADB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Межцеховые коммуникации (трубопроводы 27 ед.)</w:t>
      </w:r>
    </w:p>
    <w:p w:rsidR="00A1781C" w:rsidRPr="00A1781C" w:rsidRDefault="004444D8" w:rsidP="00A1781C">
      <w:pPr>
        <w:ind w:firstLine="708"/>
        <w:jc w:val="both"/>
        <w:rPr>
          <w:color w:val="000000"/>
          <w:sz w:val="22"/>
          <w:szCs w:val="22"/>
        </w:rPr>
      </w:pPr>
      <w:r w:rsidRPr="00A1781C">
        <w:rPr>
          <w:sz w:val="22"/>
          <w:szCs w:val="22"/>
        </w:rPr>
        <w:t xml:space="preserve">Основные требования к работе:  Работа должна быть проведена в строгом соответствии с </w:t>
      </w:r>
      <w:r w:rsidR="00A1781C">
        <w:rPr>
          <w:sz w:val="22"/>
          <w:szCs w:val="22"/>
        </w:rPr>
        <w:t xml:space="preserve">действующими нормативно-правовыми актами: </w:t>
      </w:r>
      <w:bookmarkStart w:id="0" w:name="_GoBack"/>
      <w:bookmarkEnd w:id="0"/>
      <w:r w:rsidR="00A1781C" w:rsidRPr="00A1781C">
        <w:rPr>
          <w:color w:val="000000"/>
          <w:sz w:val="22"/>
          <w:szCs w:val="22"/>
        </w:rPr>
        <w:t xml:space="preserve">Федеральным законом № 116-ФЗ «О промышленной безопасности на опасных производственных объектах», </w:t>
      </w:r>
      <w:r w:rsidR="00A1781C" w:rsidRPr="00A1781C">
        <w:rPr>
          <w:sz w:val="22"/>
          <w:szCs w:val="22"/>
        </w:rPr>
        <w:t>Федеральными нормами и правилами в области промышленной безопасности «Правила проведения экспертизы промышленной безопасности» (утв. приказом Федеральной службы по экологическому, технологическому и атомному надзору от 14.11.2013 г. № 538)</w:t>
      </w:r>
      <w:r w:rsidR="00A1781C" w:rsidRPr="00A1781C">
        <w:rPr>
          <w:bCs/>
          <w:sz w:val="22"/>
          <w:szCs w:val="22"/>
        </w:rPr>
        <w:t>.</w:t>
      </w:r>
    </w:p>
    <w:p w:rsidR="004444D8" w:rsidRPr="00A1781C" w:rsidRDefault="004444D8" w:rsidP="004444D8">
      <w:pPr>
        <w:numPr>
          <w:ilvl w:val="0"/>
          <w:numId w:val="1"/>
        </w:numPr>
        <w:jc w:val="both"/>
        <w:rPr>
          <w:sz w:val="22"/>
          <w:szCs w:val="22"/>
        </w:rPr>
      </w:pPr>
      <w:r w:rsidRPr="00A1781C">
        <w:rPr>
          <w:sz w:val="22"/>
          <w:szCs w:val="22"/>
        </w:rPr>
        <w:t xml:space="preserve">Содержание работы: </w:t>
      </w:r>
      <w:r w:rsidR="00EA2ADB" w:rsidRPr="00A1781C">
        <w:rPr>
          <w:sz w:val="22"/>
          <w:szCs w:val="22"/>
        </w:rPr>
        <w:t>1)</w:t>
      </w:r>
      <w:r w:rsidRPr="00A1781C">
        <w:rPr>
          <w:sz w:val="22"/>
          <w:szCs w:val="22"/>
        </w:rPr>
        <w:t xml:space="preserve">Анализ условий эксплуатации и технической документации на обследуемое оборудование, </w:t>
      </w:r>
      <w:r w:rsidR="00EA2ADB" w:rsidRPr="00A1781C">
        <w:rPr>
          <w:color w:val="000000"/>
          <w:sz w:val="22"/>
          <w:szCs w:val="22"/>
        </w:rPr>
        <w:t>разработка и утверждение программы экспертизы</w:t>
      </w:r>
      <w:r w:rsidRPr="00A1781C">
        <w:rPr>
          <w:color w:val="000000"/>
          <w:sz w:val="22"/>
          <w:szCs w:val="22"/>
        </w:rPr>
        <w:t>,</w:t>
      </w:r>
      <w:r w:rsidR="00EA2ADB" w:rsidRPr="00A1781C">
        <w:rPr>
          <w:color w:val="000000"/>
          <w:sz w:val="22"/>
          <w:szCs w:val="22"/>
        </w:rPr>
        <w:t xml:space="preserve"> 2)Анализ результатов неразрушающего контроля, выполнение прочностных расчетов и определение остаточного ресурса, 3) </w:t>
      </w:r>
      <w:r w:rsidRPr="00A1781C">
        <w:rPr>
          <w:color w:val="000000"/>
          <w:sz w:val="22"/>
          <w:szCs w:val="22"/>
        </w:rPr>
        <w:t xml:space="preserve"> Оформление и  выдача заключений </w:t>
      </w:r>
      <w:r w:rsidRPr="00A1781C">
        <w:rPr>
          <w:sz w:val="22"/>
          <w:szCs w:val="22"/>
        </w:rPr>
        <w:t xml:space="preserve">экспертизы промышленной безопасности </w:t>
      </w:r>
    </w:p>
    <w:p w:rsidR="004444D8" w:rsidRPr="00FF5CD0" w:rsidRDefault="004444D8" w:rsidP="004444D8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FF5CD0">
        <w:rPr>
          <w:sz w:val="22"/>
          <w:szCs w:val="22"/>
        </w:rPr>
        <w:t>Форма представления результатов</w:t>
      </w:r>
      <w:r w:rsidRPr="000961BC">
        <w:rPr>
          <w:sz w:val="22"/>
          <w:szCs w:val="22"/>
        </w:rPr>
        <w:t>: Заключения экспертизы промышленной безопасности</w:t>
      </w:r>
      <w:r>
        <w:rPr>
          <w:sz w:val="22"/>
          <w:szCs w:val="22"/>
        </w:rPr>
        <w:t xml:space="preserve"> на бумажном носителе</w:t>
      </w:r>
      <w:r w:rsidRPr="000961BC">
        <w:rPr>
          <w:color w:val="000000"/>
          <w:sz w:val="22"/>
          <w:szCs w:val="22"/>
        </w:rPr>
        <w:t xml:space="preserve">, электронные версии заключений, имеющие подписи и </w:t>
      </w:r>
      <w:r w:rsidRPr="00EA2ADB">
        <w:rPr>
          <w:sz w:val="22"/>
          <w:szCs w:val="22"/>
        </w:rPr>
        <w:t xml:space="preserve">согласования, </w:t>
      </w:r>
      <w:r w:rsidRPr="000961BC">
        <w:rPr>
          <w:color w:val="000000"/>
          <w:sz w:val="22"/>
          <w:szCs w:val="22"/>
        </w:rPr>
        <w:t xml:space="preserve">получаемые путем сканирования бумажного оригинала в формате </w:t>
      </w:r>
      <w:r w:rsidRPr="000961BC">
        <w:rPr>
          <w:color w:val="000000"/>
          <w:sz w:val="22"/>
          <w:szCs w:val="22"/>
          <w:lang w:val="en-US"/>
        </w:rPr>
        <w:t>Acrobat</w:t>
      </w:r>
      <w:r w:rsidRPr="000961BC">
        <w:rPr>
          <w:color w:val="000000"/>
          <w:sz w:val="22"/>
          <w:szCs w:val="22"/>
        </w:rPr>
        <w:t xml:space="preserve"> </w:t>
      </w:r>
      <w:r w:rsidRPr="000961BC">
        <w:rPr>
          <w:color w:val="000000"/>
          <w:sz w:val="22"/>
          <w:szCs w:val="22"/>
          <w:lang w:val="en-US"/>
        </w:rPr>
        <w:t>Reader</w:t>
      </w:r>
      <w:r w:rsidRPr="000961BC">
        <w:rPr>
          <w:color w:val="000000"/>
          <w:sz w:val="22"/>
          <w:szCs w:val="22"/>
        </w:rPr>
        <w:t xml:space="preserve"> (</w:t>
      </w:r>
      <w:r w:rsidRPr="000961BC">
        <w:rPr>
          <w:color w:val="000000"/>
          <w:sz w:val="22"/>
          <w:szCs w:val="22"/>
          <w:lang w:val="en-US"/>
        </w:rPr>
        <w:t>PDF</w:t>
      </w:r>
      <w:r w:rsidRPr="000961BC">
        <w:rPr>
          <w:color w:val="000000"/>
          <w:sz w:val="22"/>
          <w:szCs w:val="22"/>
        </w:rPr>
        <w:t xml:space="preserve">) размером не более 50 Мб </w:t>
      </w:r>
      <w:r w:rsidRPr="003D2CDC">
        <w:rPr>
          <w:sz w:val="22"/>
          <w:szCs w:val="22"/>
        </w:rPr>
        <w:t>на электронном носителе</w:t>
      </w:r>
      <w:r w:rsidRPr="000961BC">
        <w:rPr>
          <w:color w:val="000000"/>
          <w:sz w:val="22"/>
          <w:szCs w:val="22"/>
        </w:rPr>
        <w:t>, записи в паспортах сосудов</w:t>
      </w:r>
      <w:r>
        <w:rPr>
          <w:color w:val="000000"/>
          <w:sz w:val="22"/>
          <w:szCs w:val="22"/>
        </w:rPr>
        <w:t xml:space="preserve"> и трубопроводов</w:t>
      </w:r>
      <w:r w:rsidRPr="000961BC">
        <w:rPr>
          <w:color w:val="000000"/>
          <w:sz w:val="22"/>
          <w:szCs w:val="22"/>
        </w:rPr>
        <w:t xml:space="preserve"> о </w:t>
      </w:r>
      <w:proofErr w:type="gramStart"/>
      <w:r w:rsidRPr="000961BC">
        <w:rPr>
          <w:color w:val="000000"/>
          <w:sz w:val="22"/>
          <w:szCs w:val="22"/>
        </w:rPr>
        <w:t>проведении</w:t>
      </w:r>
      <w:proofErr w:type="gramEnd"/>
      <w:r w:rsidRPr="000961BC">
        <w:rPr>
          <w:color w:val="000000"/>
          <w:sz w:val="22"/>
          <w:szCs w:val="22"/>
        </w:rPr>
        <w:t xml:space="preserve"> технического</w:t>
      </w:r>
      <w:r>
        <w:rPr>
          <w:color w:val="000000"/>
          <w:sz w:val="22"/>
          <w:szCs w:val="22"/>
        </w:rPr>
        <w:t xml:space="preserve"> освидетельствования</w:t>
      </w:r>
      <w:r w:rsidR="00EA2ADB">
        <w:rPr>
          <w:sz w:val="22"/>
          <w:szCs w:val="22"/>
        </w:rPr>
        <w:t>.</w:t>
      </w:r>
    </w:p>
    <w:tbl>
      <w:tblPr>
        <w:tblW w:w="9360" w:type="dxa"/>
        <w:tblInd w:w="1008" w:type="dxa"/>
        <w:tblLayout w:type="fixed"/>
        <w:tblLook w:val="0000" w:firstRow="0" w:lastRow="0" w:firstColumn="0" w:lastColumn="0" w:noHBand="0" w:noVBand="0"/>
      </w:tblPr>
      <w:tblGrid>
        <w:gridCol w:w="5040"/>
        <w:gridCol w:w="4320"/>
      </w:tblGrid>
      <w:tr w:rsidR="004444D8" w:rsidTr="000557CF">
        <w:tc>
          <w:tcPr>
            <w:tcW w:w="5040" w:type="dxa"/>
          </w:tcPr>
          <w:p w:rsidR="004444D8" w:rsidRDefault="004444D8" w:rsidP="004444D8">
            <w:pPr>
              <w:keepLines/>
              <w:tabs>
                <w:tab w:val="left" w:pos="3980"/>
              </w:tabs>
              <w:snapToGrid w:val="0"/>
              <w:rPr>
                <w:b/>
              </w:rPr>
            </w:pPr>
          </w:p>
          <w:p w:rsidR="004444D8" w:rsidRDefault="004444D8" w:rsidP="004444D8">
            <w:pPr>
              <w:keepLines/>
              <w:tabs>
                <w:tab w:val="left" w:pos="3980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От </w:t>
            </w:r>
            <w:r>
              <w:rPr>
                <w:b/>
                <w:caps/>
              </w:rPr>
              <w:t>Исполнителя</w:t>
            </w:r>
            <w:r>
              <w:rPr>
                <w:b/>
              </w:rPr>
              <w:t xml:space="preserve">      </w:t>
            </w:r>
          </w:p>
          <w:p w:rsidR="004444D8" w:rsidRDefault="004444D8" w:rsidP="000557CF">
            <w:pPr>
              <w:keepLines/>
              <w:tabs>
                <w:tab w:val="left" w:pos="3980"/>
              </w:tabs>
            </w:pPr>
          </w:p>
          <w:p w:rsidR="004444D8" w:rsidRDefault="004444D8" w:rsidP="000557CF">
            <w:pPr>
              <w:keepLines/>
              <w:tabs>
                <w:tab w:val="left" w:pos="3980"/>
              </w:tabs>
            </w:pPr>
          </w:p>
          <w:p w:rsidR="004444D8" w:rsidRDefault="004444D8" w:rsidP="000557CF">
            <w:pPr>
              <w:keepLines/>
              <w:tabs>
                <w:tab w:val="left" w:pos="3980"/>
              </w:tabs>
            </w:pPr>
          </w:p>
          <w:p w:rsidR="004444D8" w:rsidRDefault="004444D8" w:rsidP="000557CF">
            <w:pPr>
              <w:keepLines/>
              <w:tabs>
                <w:tab w:val="left" w:pos="3980"/>
              </w:tabs>
            </w:pPr>
            <w:r>
              <w:t>____________________</w:t>
            </w:r>
          </w:p>
          <w:p w:rsidR="004444D8" w:rsidRDefault="004444D8" w:rsidP="000557CF">
            <w:pPr>
              <w:keepLines/>
              <w:tabs>
                <w:tab w:val="left" w:pos="3980"/>
              </w:tabs>
              <w:rPr>
                <w:b/>
              </w:rPr>
            </w:pPr>
          </w:p>
          <w:p w:rsidR="004444D8" w:rsidRPr="004444D8" w:rsidRDefault="004444D8" w:rsidP="000557CF">
            <w:pPr>
              <w:keepLines/>
              <w:tabs>
                <w:tab w:val="left" w:pos="3980"/>
              </w:tabs>
            </w:pPr>
            <w:proofErr w:type="spellStart"/>
            <w:r w:rsidRPr="004444D8">
              <w:t>м.п</w:t>
            </w:r>
            <w:proofErr w:type="spellEnd"/>
            <w:r w:rsidRPr="004444D8">
              <w:t>.</w:t>
            </w:r>
          </w:p>
          <w:p w:rsidR="004444D8" w:rsidRDefault="004444D8" w:rsidP="000557CF">
            <w:pPr>
              <w:keepLines/>
              <w:tabs>
                <w:tab w:val="left" w:pos="3980"/>
              </w:tabs>
              <w:rPr>
                <w:b/>
              </w:rPr>
            </w:pPr>
          </w:p>
        </w:tc>
        <w:tc>
          <w:tcPr>
            <w:tcW w:w="4320" w:type="dxa"/>
          </w:tcPr>
          <w:p w:rsidR="004444D8" w:rsidRDefault="004444D8" w:rsidP="004444D8">
            <w:pPr>
              <w:pStyle w:val="7"/>
              <w:keepNext/>
              <w:keepLines/>
              <w:numPr>
                <w:ilvl w:val="6"/>
                <w:numId w:val="0"/>
              </w:numPr>
              <w:tabs>
                <w:tab w:val="num" w:pos="1296"/>
                <w:tab w:val="left" w:pos="3980"/>
              </w:tabs>
              <w:snapToGrid w:val="0"/>
              <w:spacing w:before="0" w:after="0"/>
              <w:ind w:left="1296" w:hanging="1296"/>
              <w:rPr>
                <w:b/>
              </w:rPr>
            </w:pPr>
          </w:p>
          <w:p w:rsidR="004444D8" w:rsidRPr="00DA6542" w:rsidRDefault="004444D8" w:rsidP="004444D8">
            <w:pPr>
              <w:pStyle w:val="7"/>
              <w:keepNext/>
              <w:keepLines/>
              <w:numPr>
                <w:ilvl w:val="6"/>
                <w:numId w:val="0"/>
              </w:numPr>
              <w:tabs>
                <w:tab w:val="num" w:pos="1296"/>
                <w:tab w:val="left" w:pos="3980"/>
              </w:tabs>
              <w:snapToGrid w:val="0"/>
              <w:spacing w:before="0" w:after="0"/>
              <w:ind w:left="1296" w:hanging="1296"/>
              <w:rPr>
                <w:b/>
                <w:caps/>
              </w:rPr>
            </w:pPr>
            <w:r w:rsidRPr="00DA6542">
              <w:rPr>
                <w:b/>
              </w:rPr>
              <w:t xml:space="preserve">От </w:t>
            </w:r>
            <w:r w:rsidRPr="00DA6542">
              <w:rPr>
                <w:b/>
                <w:caps/>
              </w:rPr>
              <w:t>Заказчика</w:t>
            </w:r>
          </w:p>
          <w:p w:rsidR="004444D8" w:rsidRDefault="004444D8" w:rsidP="004444D8">
            <w:pPr>
              <w:keepLines/>
              <w:tabs>
                <w:tab w:val="left" w:pos="3980"/>
              </w:tabs>
            </w:pPr>
          </w:p>
          <w:p w:rsidR="004444D8" w:rsidRDefault="004444D8" w:rsidP="000557CF">
            <w:pPr>
              <w:keepLines/>
              <w:tabs>
                <w:tab w:val="left" w:pos="3980"/>
              </w:tabs>
              <w:spacing w:before="180"/>
            </w:pPr>
          </w:p>
          <w:p w:rsidR="004444D8" w:rsidRDefault="004444D8" w:rsidP="000557CF">
            <w:pPr>
              <w:keepLines/>
              <w:tabs>
                <w:tab w:val="left" w:pos="3980"/>
              </w:tabs>
              <w:spacing w:before="180"/>
            </w:pPr>
            <w:r>
              <w:t xml:space="preserve">_____________________ </w:t>
            </w:r>
          </w:p>
          <w:p w:rsidR="004444D8" w:rsidRDefault="004444D8" w:rsidP="000557CF">
            <w:pPr>
              <w:keepLines/>
              <w:tabs>
                <w:tab w:val="left" w:pos="3980"/>
              </w:tabs>
              <w:rPr>
                <w:b/>
              </w:rPr>
            </w:pPr>
          </w:p>
          <w:p w:rsidR="004444D8" w:rsidRDefault="004444D8" w:rsidP="000557CF">
            <w:pPr>
              <w:keepLines/>
              <w:tabs>
                <w:tab w:val="left" w:pos="3980"/>
              </w:tabs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E9379C" w:rsidRDefault="00E9379C"/>
    <w:sectPr w:rsidR="00E93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8F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421DFB"/>
    <w:rsid w:val="004444D8"/>
    <w:rsid w:val="00561274"/>
    <w:rsid w:val="005B551B"/>
    <w:rsid w:val="0063374D"/>
    <w:rsid w:val="0083163D"/>
    <w:rsid w:val="008C07D5"/>
    <w:rsid w:val="008D30A9"/>
    <w:rsid w:val="009E19DE"/>
    <w:rsid w:val="00A1781C"/>
    <w:rsid w:val="00A779A1"/>
    <w:rsid w:val="00AA2593"/>
    <w:rsid w:val="00AD1356"/>
    <w:rsid w:val="00B8258F"/>
    <w:rsid w:val="00BC72AA"/>
    <w:rsid w:val="00BF64FB"/>
    <w:rsid w:val="00C4042D"/>
    <w:rsid w:val="00C40C65"/>
    <w:rsid w:val="00CE6CD2"/>
    <w:rsid w:val="00D4638D"/>
    <w:rsid w:val="00DA058C"/>
    <w:rsid w:val="00E5733A"/>
    <w:rsid w:val="00E9379C"/>
    <w:rsid w:val="00EA2ADB"/>
    <w:rsid w:val="00EB5FF0"/>
    <w:rsid w:val="00EE5AFC"/>
    <w:rsid w:val="00F5758F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44D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4444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444D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444D8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4444D8"/>
    <w:rPr>
      <w:sz w:val="24"/>
      <w:szCs w:val="24"/>
    </w:rPr>
  </w:style>
  <w:style w:type="paragraph" w:customStyle="1" w:styleId="31">
    <w:name w:val="Основной текст 31"/>
    <w:basedOn w:val="a"/>
    <w:rsid w:val="004444D8"/>
    <w:pPr>
      <w:jc w:val="center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44D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4444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444D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444D8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4444D8"/>
    <w:rPr>
      <w:sz w:val="24"/>
      <w:szCs w:val="24"/>
    </w:rPr>
  </w:style>
  <w:style w:type="paragraph" w:customStyle="1" w:styleId="31">
    <w:name w:val="Основной текст 31"/>
    <w:basedOn w:val="a"/>
    <w:rsid w:val="004444D8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5</cp:revision>
  <dcterms:created xsi:type="dcterms:W3CDTF">2016-04-05T12:01:00Z</dcterms:created>
  <dcterms:modified xsi:type="dcterms:W3CDTF">2016-04-06T12:17:00Z</dcterms:modified>
</cp:coreProperties>
</file>